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15" w:rsidRPr="00E46715" w:rsidRDefault="00E46715" w:rsidP="00E46715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E46715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Правильное питание и поведение во время беременности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1. Отказ от вредных привычек (будущим родителям рекомендовано отказаться от употребления алкоголя, курения; недопустимо употребление наркотических веществ).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2. Рациональное питание (отказ от «фаст-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фуда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» и т.д.).  Желательно исключить из рациона полуфабрикаты. Питаться нужно регулярно 4-5 раз в день небольшими порциями, не переедать. В ежедневный рацион планирующей беременность женщины должно входить достаточно свежих фруктов и овощей, зелени, молочных продуктов, особенно творога и кефира, зерновых. От консервов лучше отказаться вообще. Желательно ограничить количество легко усваиваемых углеводов и животных жиров, а также кофе).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3. Перед беременностью желательно НОРМАЛИЗОВАТЬ СВОЙ ВЕС, поскольку и избыточный вес, и дефицит массы тела отрицательно сказываются на способности женщины зачать и выносить малыша.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4. Физические нагрузки для подготовки к беременности (дозированные аэробные (обогащающие организм кислородом) нагрузки полезны для здоровья, они повышают стрессоустойчивость организма, улучшают кровообращение, дыхание, насыщенность кислородом, что благоприятно для зачатия ребенка.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5. К таким нагрузкам относятся прогулки (в том числе по беговой дорожке), плавание, велосипед, лыжи, коньки. Тренировка мышц брюшного пресса благоприятно скажутся на поддержании формы во время беременности и восстановление после родов, а также поможет благоприятному течению родов.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6. Мужчинам, планирующим зачатие, необходимо избегать длительного посещения бань, саун, не стоит длительно принимать ванну с горячей водой, носить тесное белье, по возможности избегать перегрева, работы в горячем цеху.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7. Сон и отдых (Будущим родителям важен непрерывный ночной сон в течение 8 часов в хорошо проветриваемом помещении. Ложиться спать желательно не позже 22 часов).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8. Стрессы перед беременностью (избегать стрессовых ситуаций, учиться относиться спокойнее ко всему происходящему. Можно овладеть методиками релаксации, самовнушения, посетить психологические тренинги).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9. Условия труда (избегать работы, связанной с длительным стоянием или с излишней физической нагрузкой, работы в ночное время и работы, вызывающей усталость).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lastRenderedPageBreak/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Организация питания в перинатальный период направлена на поддержание здоровья женщины, обеспечение гармоничного развития малыша. Главный инструмент в достижении цели — ответственное отношение будущей мамы к своему ежедневному рациону. Неграмотное питание во время беременности оборачивается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нутритивным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дефицитом. Это приводит к возникновению внутриутробных патологий, осложнению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гестации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, повышает шансы на развитие у ребенка аутоиммунных реакций, активацию неблагополучной генетики (наследственной предрасположенности к заболеваниям).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Причинами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нутритивного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дисбаланса в организме беременной женщины становятся: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•    Дефицит и профицит калорий. Низкая энергетическая ценность рациона заставляет организм младенца включать механизм форсированного усвоения всего, что съедает мама.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Нутригенетики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утверждают, что привычка кушать все подряд сохраняется после рождения, угрожая ожирением. На женском организме недостаток калорий отражается слабостью мышц маточной мускулатуры. Возникает опасность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невынашивания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плода. Избыток калорий приводит к набору лишнего веса, а это — нагрузка на суставы, сосуды, риск развития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гестационного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сахарного диабета, гипертонии,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варикоза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•    Нехватка витаминов. Гиповитаминоз при беременности — прямая угроза жизни и здоровью ребенка. Дефицит витаминов А, Е замедляет рост плода, провоцирует преждевременное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родоразрешение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. Недостаток В1, В9 вызывает дефекты развития нервной системы. Недобор витамина D — причина неонатального рахита, нарушения зрения. Следствием гиповитаминоза В2 становятся пороки сердца, расщепление твёрдого нёба, деформация рук и ног новорожденного.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Недостаток минеральных веществ. Микроэлементы участвуют в эмбриональном развитии не меньше, чем витамины. Дефицит меди приводит к снижению иммунного статуса у мамы и ребенка, кальция, фосфора — к деминерализации костной ткани плода, йода — к задержке нервно-психического развития малыша, железа — к железодефицитной анемии у беременной, угрозе выкидыша, магния — к преждевременным родам, развитию аритмии у матери, цинка — к замедленному росту эмбриона.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Правильно питаться — значит обеспечить ребенку стабильный рост и развитие, защитить себя от перинатальных рисков и осложненных родов. Беременной нужно кушать не «за двоих», а «для двоих».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Обязательные продукты в рационе: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для обеспечения кальцием — сыр, творог, молоко, миндаль, кунжут;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lastRenderedPageBreak/>
        <w:t>•    источники витамина D — жирная рыба, печень трески, яйца, сливочное, льняное, оливковое масло;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•    для профилактики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железодефицита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— говяжья и свиная печень, какао, фасоль, капуста, яблоки, черника, зелень (шпинат, петрушка, мята).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Правила диеты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Принципы построения диеты в перинатальный период немногим отличаются от общих правил здорового питания. Ведь беременность — не болезнь.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Организация правильного рациона включает: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•    Отказ от вредной еды и напитков. Канцерогены, консерванты,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ароматизаторы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, усилители вкуса, алкоголь повышают перинатальные риски.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•    Контроль КБЖУ. Помогает поддерживать стабильный вес,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нутритивный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баланс.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Ежедневное употребление полезных продуктов, содержащих белок, минералы, витамины. Эти вещества необходимы для развития плода, сохранения здоровья матери.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Соблюдение питьевого режима (1,5-2 л в день). Чистая вода обеспечивает нормальный кровоток, регулирует работу мочевыделительных органов, кишечника.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Дробное питание: 5-6 раз в день с интервалом 3-4 часа. Такой график помогает не переедать, правильно усваивать полезные вещества.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Кулинарная обработка продуктов здоровыми способами. Приготовление блюд с помощью варки, тушения, запекания позволяет уменьшить калорийность, снизить нагрузку на органы пищеварения, избавиться от тошноты, изжоги.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Ограничение соли.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lastRenderedPageBreak/>
        <w:t xml:space="preserve">•    Лимит на быстрые углеводы. Из сладких продуктов организм получает глюкозу — основной источник энергии, поэтому совсем отказываться от них нельзя. Но чрезмерное увлечение кондитерскими изделиями приводит к сбою метаболизма, ожирению, развитию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инсулинорезистентности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•    Ведение дневника питания.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В диете для беременных есть свои бонусы. Женщина освоит рецепты здорового меню, привыкнет правильно питаться, легко придет в форму после родов.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Arial" w:eastAsia="Times New Roman" w:hAnsi="Arial" w:cs="Arial"/>
          <w:color w:val="262626"/>
          <w:sz w:val="18"/>
          <w:szCs w:val="18"/>
          <w:lang w:eastAsia="ru-RU"/>
        </w:rPr>
        <w:t> </w:t>
      </w:r>
    </w:p>
    <w:p w:rsidR="00E46715" w:rsidRPr="00E46715" w:rsidRDefault="00E46715" w:rsidP="00E4671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Arial" w:eastAsia="Times New Roman" w:hAnsi="Arial" w:cs="Arial"/>
          <w:color w:val="262626"/>
          <w:sz w:val="18"/>
          <w:szCs w:val="18"/>
          <w:lang w:eastAsia="ru-RU"/>
        </w:rPr>
      </w:pPr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Конечно, не стоит делать культ из пищи, забывая о собственном комфорте и внешности. Чувствовать себя уверенно поможет специальное белье для беременных, а о красоте кожи позаботятся </w:t>
      </w:r>
      <w:proofErr w:type="spellStart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>гипоаллергенные</w:t>
      </w:r>
      <w:proofErr w:type="spellEnd"/>
      <w:r w:rsidRPr="00E46715">
        <w:rPr>
          <w:rFonts w:ascii="Tahoma" w:eastAsia="Times New Roman" w:hAnsi="Tahoma" w:cs="Tahoma"/>
          <w:b/>
          <w:bCs/>
          <w:color w:val="262626"/>
          <w:sz w:val="18"/>
          <w:szCs w:val="18"/>
          <w:lang w:eastAsia="ru-RU"/>
        </w:rPr>
        <w:t xml:space="preserve"> средства — кремы от растяжек, гели, бальзамы.</w:t>
      </w:r>
    </w:p>
    <w:p w:rsidR="003507F0" w:rsidRDefault="00E46715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AB"/>
    <w:rsid w:val="00286F1E"/>
    <w:rsid w:val="006C0136"/>
    <w:rsid w:val="00D00DAB"/>
    <w:rsid w:val="00E4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67B8-6D02-4F7E-A4A0-C6B272C9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4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5628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2024-08-12T13:22:00Z</dcterms:created>
  <dcterms:modified xsi:type="dcterms:W3CDTF">2024-08-12T13:22:00Z</dcterms:modified>
</cp:coreProperties>
</file>